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89" w:rsidRPr="007F3222" w:rsidRDefault="005B1289" w:rsidP="005B1289">
      <w:pPr>
        <w:pStyle w:val="NormalWeb"/>
        <w:jc w:val="both"/>
      </w:pPr>
      <w:r w:rsidRPr="007F3222">
        <w:t>Bu talimat, Bursa Uludağ Üniversitesi yerleşkelerinde kullanılan yol ve çevre süpürme araçlarının güvenli ve sağlıklı bir şekilde kullanılmasını sağlamak amacıyla hazırlanmıştır.</w:t>
      </w:r>
      <w:r>
        <w:t xml:space="preserve"> </w:t>
      </w:r>
      <w:r w:rsidRPr="007F3222">
        <w:t>Bu talimat; sürücülü vakumlu yol süpürme araçları, çevre süpürme araçları ve benzeri motorlu süpürme araçlarının kullanımını kapsar.</w:t>
      </w:r>
      <w:r>
        <w:t xml:space="preserve"> </w:t>
      </w:r>
      <w:r w:rsidRPr="007F3222">
        <w:t>Bu talimata uyulmasından Bursa Uludağ Üniversitesi yerleşkelerinde süpürme ve çevre temizliği faaliyetlerinde görevli tüm personel ile ilgili amirleri sorumludur.</w:t>
      </w:r>
    </w:p>
    <w:p w:rsidR="005B1289" w:rsidRPr="007F3222" w:rsidRDefault="005B1289" w:rsidP="005B1289">
      <w:pPr>
        <w:pStyle w:val="Balk3"/>
        <w:rPr>
          <w:rFonts w:ascii="Times New Roman" w:hAnsi="Times New Roman" w:cs="Times New Roman"/>
          <w:b/>
        </w:rPr>
      </w:pPr>
      <w:r w:rsidRPr="007F3222">
        <w:rPr>
          <w:rFonts w:ascii="Times New Roman" w:hAnsi="Times New Roman" w:cs="Times New Roman"/>
          <w:b/>
          <w:color w:val="auto"/>
        </w:rPr>
        <w:t>GÜVENLİ KULLANIM KURALLARI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Araç yalnızca gerekli eğitimi almış ve yetkilendirilmiş personel tarafından kullanılır.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Çalışmaya başlamadan önce lastikler, fren sistemi, direksiyon sistemi, aydınlatmalar, ikaz lambaları, aynalar ve geri görüş sistemleri kontrol edilir.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Fırçalar, vakum sistemi, su püskürtme sistemi ve çöp haznesinin çalışır durumda olduğu kontrol edilir.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Arızalı veya güvenli çalışmasını etkileyebilecek kusurları bulunan araçlar kullanılmaz.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Operatör çalışma süresince emniyet kemerini kullanır.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Çalışma alanındaki yayalar, araçlar ve diğer çalışanlar dikkate alınarak güvenli sürüş yapılır.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Araç hız sınırlarına ve trafik kurallarına uygun şekilde kullanılır.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Geri manevralarda azami dikkat gösterilir, gerekli durumlarda gözcü desteği alınır.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Süpürme işlemi sırasında üçüncü kişilerin hareketli fırçalara yaklaşmasına izin verilmez.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Araç çalışırken hareketli fırçalara, vakum sistemine veya diğer hareketli parçalara müdahale edilmez.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Çalışma sırasında ani dönüşlerden ve sert manevralardan kaçınılır.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Eğimli alanlarda dikkatli çalışılır ve üreticinin belirlediği çalışma sınırları aşılmaz.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Çöp haznesi boşaltılırken çevrede personel bulunmamasına dikkat edilir.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Hazne boşaltma işlemi yalnızca uygun ve güvenli alanlarda yapılır.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Yakıt dolumu motor durdurulduktan sonra yapılır.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Yakıt dolumu sırasında sigara içilmez ve açık alev kaynaklarından uzak durulur.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Çalışma sırasında olağan dışı ses, titreşim, hidrolik kaçak veya performans düşüklüğü fark edilmesi halinde araç derhal durdurulur.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Bakım, temizlik ve onarım işlemleri öncesinde araç güvenli şekilde park edilir, motor durdurulur ve gerekli emniyet tedbirleri alınır.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Araç gözetimsiz bırakılacağı zaman park freni çekilir ve yetkisiz kullanımın önüne geçilir.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Gün sonunda araç temizlenir, kontrol edilir ve güvenli şekilde park edilir.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Bakım ve onarım işlemleri yalnızca yetkili teknik personel tarafından yapılır.</w:t>
      </w:r>
    </w:p>
    <w:p w:rsidR="005B1289" w:rsidRPr="007F3222" w:rsidRDefault="005B1289" w:rsidP="005B1289">
      <w:pPr>
        <w:pStyle w:val="NormalWeb"/>
        <w:numPr>
          <w:ilvl w:val="0"/>
          <w:numId w:val="9"/>
        </w:numPr>
      </w:pPr>
      <w:r w:rsidRPr="007F3222">
        <w:t>Acil durum halinde acil durum iletişim bilgilerinde yer alan birimlere bilgi verilir.</w:t>
      </w:r>
    </w:p>
    <w:p w:rsidR="005B1289" w:rsidRPr="007F3222" w:rsidRDefault="005B1289" w:rsidP="005B1289">
      <w:pPr>
        <w:pStyle w:val="Balk3"/>
        <w:rPr>
          <w:rFonts w:ascii="Times New Roman" w:hAnsi="Times New Roman" w:cs="Times New Roman"/>
          <w:b/>
          <w:color w:val="auto"/>
          <w:szCs w:val="28"/>
        </w:rPr>
      </w:pPr>
      <w:r w:rsidRPr="007F3222">
        <w:rPr>
          <w:rStyle w:val="Gl"/>
          <w:rFonts w:ascii="Times New Roman" w:hAnsi="Times New Roman" w:cs="Times New Roman"/>
          <w:color w:val="auto"/>
        </w:rPr>
        <w:t xml:space="preserve"> </w:t>
      </w:r>
      <w:r w:rsidRPr="007F3222">
        <w:rPr>
          <w:rFonts w:ascii="Times New Roman" w:hAnsi="Times New Roman" w:cs="Times New Roman"/>
          <w:b/>
          <w:color w:val="auto"/>
          <w:szCs w:val="28"/>
        </w:rPr>
        <w:t>ACİL DURUM İLETİŞİM BİLGİLERİ</w:t>
      </w:r>
    </w:p>
    <w:p w:rsidR="005B1289" w:rsidRPr="007F3222" w:rsidRDefault="005B1289" w:rsidP="005B1289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BUÜ İtfaiye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40444</w:t>
      </w:r>
      <w:bookmarkStart w:id="0" w:name="_GoBack"/>
      <w:bookmarkEnd w:id="0"/>
    </w:p>
    <w:p w:rsidR="005B1289" w:rsidRPr="007F3222" w:rsidRDefault="005B1289" w:rsidP="005B1289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BUÜ Güvenlik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40550</w:t>
      </w:r>
    </w:p>
    <w:p w:rsidR="005B1289" w:rsidRPr="007F3222" w:rsidRDefault="005B1289" w:rsidP="005B1289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Acil Çağrı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112</w:t>
      </w:r>
    </w:p>
    <w:p w:rsidR="005B1289" w:rsidRPr="007F3222" w:rsidRDefault="005B1289" w:rsidP="005B1289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Doğalgaz Acil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187</w:t>
      </w:r>
    </w:p>
    <w:p w:rsidR="005B1289" w:rsidRPr="007F3222" w:rsidRDefault="005B1289" w:rsidP="005B1289">
      <w:pPr>
        <w:pStyle w:val="ListeParagraf"/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7F3222">
        <w:rPr>
          <w:rFonts w:ascii="Times New Roman" w:hAnsi="Times New Roman"/>
          <w:sz w:val="24"/>
          <w:szCs w:val="28"/>
        </w:rPr>
        <w:t>Polis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 xml:space="preserve">: 112 </w:t>
      </w:r>
    </w:p>
    <w:p w:rsidR="007F3222" w:rsidRPr="00A33DEE" w:rsidRDefault="007F3222" w:rsidP="00A33DEE">
      <w:pPr>
        <w:rPr>
          <w:rStyle w:val="Gl"/>
          <w:b w:val="0"/>
          <w:bCs w:val="0"/>
        </w:rPr>
      </w:pPr>
    </w:p>
    <w:sectPr w:rsidR="007F3222" w:rsidRPr="00A33DEE" w:rsidSect="00DF5EA8">
      <w:headerReference w:type="default" r:id="rId8"/>
      <w:footerReference w:type="default" r:id="rId9"/>
      <w:pgSz w:w="12240" w:h="15840"/>
      <w:pgMar w:top="1418" w:right="1041" w:bottom="1276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67" w:rsidRDefault="008F5767">
      <w:pPr>
        <w:spacing w:line="240" w:lineRule="auto"/>
      </w:pPr>
      <w:r>
        <w:separator/>
      </w:r>
    </w:p>
  </w:endnote>
  <w:endnote w:type="continuationSeparator" w:id="0">
    <w:p w:rsidR="008F5767" w:rsidRDefault="008F5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46637B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8D5940">
            <w:rPr>
              <w:rFonts w:ascii="Times New Roman" w:hAnsi="Times New Roman"/>
              <w:sz w:val="18"/>
              <w:szCs w:val="16"/>
              <w:lang w:eastAsia="en-GB"/>
            </w:rPr>
            <w:t>24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  <w:r w:rsidR="008D5940">
            <w:rPr>
              <w:rFonts w:ascii="Times New Roman" w:hAnsi="Times New Roman"/>
              <w:sz w:val="18"/>
              <w:szCs w:val="16"/>
              <w:lang w:eastAsia="en-GB"/>
            </w:rPr>
            <w:t>06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.20</w:t>
          </w:r>
          <w:r w:rsidR="008D5940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</w:p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8D5940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8D5940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46637B" w:rsidRDefault="004663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67" w:rsidRDefault="008F5767">
      <w:pPr>
        <w:spacing w:after="0"/>
      </w:pPr>
      <w:r>
        <w:separator/>
      </w:r>
    </w:p>
  </w:footnote>
  <w:footnote w:type="continuationSeparator" w:id="0">
    <w:p w:rsidR="008F5767" w:rsidRDefault="008F57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46637B">
      <w:trPr>
        <w:trHeight w:val="841"/>
      </w:trPr>
      <w:tc>
        <w:tcPr>
          <w:tcW w:w="486" w:type="pct"/>
          <w:vAlign w:val="center"/>
        </w:tcPr>
        <w:p w:rsidR="0046637B" w:rsidRDefault="0069682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5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46637B" w:rsidRPr="00A611B8" w:rsidRDefault="005B1289" w:rsidP="00A611B8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5B1289">
            <w:rPr>
              <w:rFonts w:ascii="Times New Roman" w:hAnsi="Times New Roman"/>
              <w:b/>
              <w:sz w:val="28"/>
              <w:szCs w:val="26"/>
            </w:rPr>
            <w:t xml:space="preserve">YOL VE ÇEVRE SÜPÜRME ARACI </w:t>
          </w:r>
          <w:r w:rsidR="00A611B8" w:rsidRPr="00B93CE4">
            <w:rPr>
              <w:rFonts w:ascii="Times New Roman" w:hAnsi="Times New Roman"/>
              <w:b/>
              <w:sz w:val="28"/>
              <w:szCs w:val="26"/>
            </w:rPr>
            <w:t>KULLANMA TALİMATI</w:t>
          </w:r>
        </w:p>
      </w:tc>
      <w:tc>
        <w:tcPr>
          <w:tcW w:w="688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8D5940">
            <w:rPr>
              <w:rFonts w:ascii="Times New Roman" w:hAnsi="Times New Roman"/>
              <w:b/>
              <w:szCs w:val="20"/>
            </w:rPr>
            <w:t>42</w:t>
          </w:r>
        </w:p>
      </w:tc>
    </w:tr>
  </w:tbl>
  <w:p w:rsidR="0046637B" w:rsidRDefault="004663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7CD2D"/>
    <w:multiLevelType w:val="singleLevel"/>
    <w:tmpl w:val="0207CD2D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04747C0C"/>
    <w:multiLevelType w:val="multilevel"/>
    <w:tmpl w:val="7178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904F2"/>
    <w:multiLevelType w:val="multilevel"/>
    <w:tmpl w:val="C84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03406"/>
    <w:multiLevelType w:val="multilevel"/>
    <w:tmpl w:val="34BE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A23E6"/>
    <w:multiLevelType w:val="multilevel"/>
    <w:tmpl w:val="EA90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B7AF3"/>
    <w:multiLevelType w:val="multilevel"/>
    <w:tmpl w:val="23BE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D7524"/>
    <w:multiLevelType w:val="multilevel"/>
    <w:tmpl w:val="8B18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36A5A"/>
    <w:multiLevelType w:val="multilevel"/>
    <w:tmpl w:val="A0C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509A0"/>
    <w:multiLevelType w:val="multilevel"/>
    <w:tmpl w:val="F2C0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63C"/>
    <w:multiLevelType w:val="multilevel"/>
    <w:tmpl w:val="3B9E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5D6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5297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264A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7B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403AC"/>
    <w:rsid w:val="00540645"/>
    <w:rsid w:val="00542C1E"/>
    <w:rsid w:val="00544DE3"/>
    <w:rsid w:val="00547088"/>
    <w:rsid w:val="00555462"/>
    <w:rsid w:val="00560F91"/>
    <w:rsid w:val="00570536"/>
    <w:rsid w:val="005706EF"/>
    <w:rsid w:val="00570C3E"/>
    <w:rsid w:val="00573B14"/>
    <w:rsid w:val="005923F7"/>
    <w:rsid w:val="005936E7"/>
    <w:rsid w:val="005A0916"/>
    <w:rsid w:val="005A21F8"/>
    <w:rsid w:val="005A2E83"/>
    <w:rsid w:val="005A6BAE"/>
    <w:rsid w:val="005B1289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273"/>
    <w:rsid w:val="005F7923"/>
    <w:rsid w:val="00600740"/>
    <w:rsid w:val="0060125F"/>
    <w:rsid w:val="006076A0"/>
    <w:rsid w:val="00611746"/>
    <w:rsid w:val="00612C87"/>
    <w:rsid w:val="0061314A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87E01"/>
    <w:rsid w:val="00691D38"/>
    <w:rsid w:val="00696419"/>
    <w:rsid w:val="00696826"/>
    <w:rsid w:val="006974D2"/>
    <w:rsid w:val="006A2B5A"/>
    <w:rsid w:val="006A6A69"/>
    <w:rsid w:val="006B2C1F"/>
    <w:rsid w:val="006B2C92"/>
    <w:rsid w:val="006B5467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3222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D5940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5767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1E92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0A7"/>
    <w:rsid w:val="00A21C4C"/>
    <w:rsid w:val="00A229F7"/>
    <w:rsid w:val="00A23336"/>
    <w:rsid w:val="00A23D9B"/>
    <w:rsid w:val="00A32151"/>
    <w:rsid w:val="00A32951"/>
    <w:rsid w:val="00A32BE0"/>
    <w:rsid w:val="00A33C50"/>
    <w:rsid w:val="00A33DEE"/>
    <w:rsid w:val="00A441DC"/>
    <w:rsid w:val="00A46111"/>
    <w:rsid w:val="00A51D75"/>
    <w:rsid w:val="00A53695"/>
    <w:rsid w:val="00A5693C"/>
    <w:rsid w:val="00A611B8"/>
    <w:rsid w:val="00A61DEB"/>
    <w:rsid w:val="00A625BB"/>
    <w:rsid w:val="00A653CE"/>
    <w:rsid w:val="00A7029D"/>
    <w:rsid w:val="00A70A3A"/>
    <w:rsid w:val="00A76194"/>
    <w:rsid w:val="00A807AC"/>
    <w:rsid w:val="00A857C5"/>
    <w:rsid w:val="00A9307D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591C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3CE4"/>
    <w:rsid w:val="00B96675"/>
    <w:rsid w:val="00BA0A96"/>
    <w:rsid w:val="00BA3698"/>
    <w:rsid w:val="00BA5F9F"/>
    <w:rsid w:val="00BA607E"/>
    <w:rsid w:val="00BA61D4"/>
    <w:rsid w:val="00BB24EB"/>
    <w:rsid w:val="00BB5385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3D1D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86913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5EA8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30B6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2990"/>
    <w:rsid w:val="00EC3292"/>
    <w:rsid w:val="00EC6DDC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C6525"/>
    <w:rsid w:val="00FD25C7"/>
    <w:rsid w:val="00FE123D"/>
    <w:rsid w:val="00FF1106"/>
    <w:rsid w:val="00FF59D9"/>
    <w:rsid w:val="07B509B3"/>
    <w:rsid w:val="3D262149"/>
    <w:rsid w:val="42214C3D"/>
    <w:rsid w:val="64F41D3B"/>
    <w:rsid w:val="6DF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8B866"/>
  <w15:docId w15:val="{F1284585-2C1F-44EF-9BB5-834275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F5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Maddemi">
    <w:name w:val="List Bullet"/>
    <w:basedOn w:val="Normal"/>
    <w:uiPriority w:val="99"/>
    <w:unhideWhenUsed/>
    <w:qFormat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umaras">
    <w:name w:val="List Number"/>
    <w:basedOn w:val="Normal"/>
    <w:uiPriority w:val="99"/>
    <w:semiHidden/>
    <w:unhideWhenUsed/>
    <w:pPr>
      <w:numPr>
        <w:numId w:val="2"/>
      </w:numPr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qFormat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DF5E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isselectedend">
    <w:name w:val="isselectedend"/>
    <w:basedOn w:val="Normal"/>
    <w:rsid w:val="00DF5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5EA8"/>
    <w:rPr>
      <w:b/>
      <w:bCs/>
    </w:rPr>
  </w:style>
  <w:style w:type="paragraph" w:styleId="NormalWeb">
    <w:name w:val="Normal (Web)"/>
    <w:basedOn w:val="Normal"/>
    <w:uiPriority w:val="99"/>
    <w:unhideWhenUsed/>
    <w:rsid w:val="006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1E675-6C42-4890-A25A-4576CAE5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2</cp:revision>
  <cp:lastPrinted>2020-07-09T07:03:00Z</cp:lastPrinted>
  <dcterms:created xsi:type="dcterms:W3CDTF">2026-06-24T12:17:00Z</dcterms:created>
  <dcterms:modified xsi:type="dcterms:W3CDTF">2026-06-24T12:17:00Z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AA80A45144E64DD994DD435716F86407_12</vt:lpwstr>
  </property>
</Properties>
</file>